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80" w:rsidRDefault="00AB2979">
      <w:pPr>
        <w:pStyle w:val="BodyA"/>
        <w:rPr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>Huntingdon Road Surgery Patient group</w:t>
      </w:r>
    </w:p>
    <w:p w:rsidR="00415080" w:rsidRDefault="00415080">
      <w:pPr>
        <w:pStyle w:val="BodyA"/>
        <w:rPr>
          <w:b/>
          <w:bCs/>
          <w:sz w:val="30"/>
          <w:szCs w:val="30"/>
        </w:rPr>
      </w:pPr>
    </w:p>
    <w:p w:rsidR="00415080" w:rsidRDefault="00AB2979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Annual General Meeting</w:t>
      </w:r>
    </w:p>
    <w:p w:rsidR="00415080" w:rsidRDefault="00415080">
      <w:pPr>
        <w:pStyle w:val="BodyA"/>
        <w:rPr>
          <w:b/>
          <w:bCs/>
          <w:sz w:val="28"/>
          <w:szCs w:val="28"/>
        </w:rPr>
      </w:pPr>
    </w:p>
    <w:p w:rsidR="00415080" w:rsidRDefault="00AB2979">
      <w:pPr>
        <w:pStyle w:val="BodyA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Wednesday 17 September </w:t>
      </w:r>
      <w:proofErr w:type="gramStart"/>
      <w:r>
        <w:rPr>
          <w:b/>
          <w:bCs/>
          <w:sz w:val="26"/>
          <w:szCs w:val="26"/>
        </w:rPr>
        <w:t>2015  6.30</w:t>
      </w:r>
      <w:proofErr w:type="gramEnd"/>
      <w:r>
        <w:rPr>
          <w:b/>
          <w:bCs/>
          <w:sz w:val="26"/>
          <w:szCs w:val="26"/>
        </w:rPr>
        <w:t xml:space="preserve"> to 8.30</w:t>
      </w:r>
    </w:p>
    <w:p w:rsidR="00415080" w:rsidRDefault="00415080">
      <w:pPr>
        <w:pStyle w:val="BodyA"/>
        <w:rPr>
          <w:sz w:val="26"/>
          <w:szCs w:val="26"/>
        </w:rPr>
      </w:pPr>
    </w:p>
    <w:p w:rsidR="00415080" w:rsidRDefault="00AB2979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>Present: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Connan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Flinn</w:t>
      </w:r>
      <w:proofErr w:type="spellEnd"/>
      <w:r>
        <w:rPr>
          <w:sz w:val="24"/>
          <w:szCs w:val="24"/>
        </w:rPr>
        <w:t xml:space="preserve">, Sarah-Jane Cousins (Office manager), Richard Catchpole, Rosemary Gallagher, Pamela McNeill, Jennifer Knights, Peter </w:t>
      </w:r>
      <w:proofErr w:type="spellStart"/>
      <w:r>
        <w:rPr>
          <w:sz w:val="24"/>
          <w:szCs w:val="24"/>
        </w:rPr>
        <w:t>Teich</w:t>
      </w:r>
      <w:proofErr w:type="spellEnd"/>
      <w:r>
        <w:rPr>
          <w:sz w:val="24"/>
          <w:szCs w:val="24"/>
        </w:rPr>
        <w:t xml:space="preserve">, Patrick </w:t>
      </w:r>
      <w:proofErr w:type="spellStart"/>
      <w:r>
        <w:rPr>
          <w:sz w:val="24"/>
          <w:szCs w:val="24"/>
        </w:rPr>
        <w:t>Shandas</w:t>
      </w:r>
      <w:proofErr w:type="spellEnd"/>
      <w:r>
        <w:rPr>
          <w:sz w:val="24"/>
          <w:szCs w:val="24"/>
        </w:rPr>
        <w:t xml:space="preserve">. Neil Scott Anderson, Kate </w:t>
      </w:r>
      <w:proofErr w:type="spellStart"/>
      <w:r>
        <w:rPr>
          <w:sz w:val="24"/>
          <w:szCs w:val="24"/>
        </w:rPr>
        <w:t>Lawrance</w:t>
      </w:r>
      <w:proofErr w:type="spellEnd"/>
      <w:r>
        <w:rPr>
          <w:sz w:val="24"/>
          <w:szCs w:val="24"/>
        </w:rPr>
        <w:t xml:space="preserve">, Richard </w:t>
      </w:r>
      <w:proofErr w:type="spellStart"/>
      <w:r>
        <w:rPr>
          <w:sz w:val="24"/>
          <w:szCs w:val="24"/>
        </w:rPr>
        <w:t>Woraine</w:t>
      </w:r>
      <w:proofErr w:type="spellEnd"/>
      <w:r>
        <w:rPr>
          <w:sz w:val="24"/>
          <w:szCs w:val="24"/>
        </w:rPr>
        <w:t>, Vanessa Connolly, Robert San</w:t>
      </w:r>
      <w:r>
        <w:rPr>
          <w:sz w:val="24"/>
          <w:szCs w:val="24"/>
        </w:rPr>
        <w:t>d</w:t>
      </w:r>
      <w:r>
        <w:rPr>
          <w:sz w:val="24"/>
          <w:szCs w:val="24"/>
        </w:rPr>
        <w:t>ers, Jackie</w:t>
      </w:r>
      <w:r>
        <w:rPr>
          <w:sz w:val="24"/>
          <w:szCs w:val="24"/>
        </w:rPr>
        <w:t xml:space="preserve"> Sanders, David Faulkner, Maureen </w:t>
      </w:r>
      <w:proofErr w:type="spellStart"/>
      <w:r>
        <w:rPr>
          <w:sz w:val="24"/>
          <w:szCs w:val="24"/>
        </w:rPr>
        <w:t>Cundy</w:t>
      </w:r>
      <w:proofErr w:type="spellEnd"/>
    </w:p>
    <w:p w:rsidR="00415080" w:rsidRDefault="00AB2979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415080" w:rsidRDefault="00AB2979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Before opening the proceedings formally, the Chair proposed that the </w:t>
      </w:r>
      <w:proofErr w:type="spellStart"/>
      <w:r>
        <w:rPr>
          <w:sz w:val="24"/>
          <w:szCs w:val="24"/>
        </w:rPr>
        <w:t>term</w:t>
      </w:r>
      <w:proofErr w:type="gramStart"/>
      <w:r>
        <w:rPr>
          <w:sz w:val="24"/>
          <w:szCs w:val="24"/>
        </w:rPr>
        <w:t>,s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rFonts w:ascii="Arial Unicode MS" w:hAnsi="Helvetica"/>
          <w:sz w:val="24"/>
          <w:szCs w:val="24"/>
        </w:rPr>
        <w:t>“</w:t>
      </w:r>
      <w:r>
        <w:rPr>
          <w:sz w:val="24"/>
          <w:szCs w:val="24"/>
        </w:rPr>
        <w:t>Patient Pa</w:t>
      </w:r>
      <w:r>
        <w:rPr>
          <w:sz w:val="24"/>
          <w:szCs w:val="24"/>
        </w:rPr>
        <w:t>r</w:t>
      </w:r>
      <w:r>
        <w:rPr>
          <w:sz w:val="24"/>
          <w:szCs w:val="24"/>
        </w:rPr>
        <w:t>ticipation Group</w:t>
      </w:r>
      <w:r>
        <w:rPr>
          <w:rFonts w:ascii="Arial Unicode MS" w:hAnsi="Helvetica"/>
          <w:sz w:val="24"/>
          <w:szCs w:val="24"/>
        </w:rPr>
        <w:t>’</w:t>
      </w:r>
      <w:r>
        <w:rPr>
          <w:rFonts w:ascii="Arial Unicode MS" w:hAnsi="Helvetica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rFonts w:ascii="Arial Unicode MS" w:hAnsi="Helvetica"/>
          <w:sz w:val="24"/>
          <w:szCs w:val="24"/>
        </w:rPr>
        <w:t>‘</w:t>
      </w:r>
      <w:r>
        <w:rPr>
          <w:sz w:val="24"/>
          <w:szCs w:val="24"/>
        </w:rPr>
        <w:t>PPG</w:t>
      </w:r>
      <w:r>
        <w:rPr>
          <w:rFonts w:ascii="Arial Unicode MS" w:hAnsi="Helvetica"/>
          <w:sz w:val="24"/>
          <w:szCs w:val="24"/>
        </w:rPr>
        <w:t>’</w:t>
      </w:r>
      <w:r>
        <w:rPr>
          <w:rFonts w:ascii="Arial Unicode MS" w:hAnsi="Helvetica"/>
          <w:sz w:val="24"/>
          <w:szCs w:val="24"/>
        </w:rPr>
        <w:t xml:space="preserve"> </w:t>
      </w:r>
      <w:r>
        <w:rPr>
          <w:sz w:val="24"/>
          <w:szCs w:val="24"/>
        </w:rPr>
        <w:t xml:space="preserve">be replaced by the term </w:t>
      </w:r>
      <w:r>
        <w:rPr>
          <w:rFonts w:ascii="Arial Unicode MS" w:hAnsi="Helvetica"/>
          <w:sz w:val="24"/>
          <w:szCs w:val="24"/>
        </w:rPr>
        <w:t>“</w:t>
      </w:r>
      <w:r>
        <w:rPr>
          <w:sz w:val="24"/>
          <w:szCs w:val="24"/>
        </w:rPr>
        <w:t>Patient Group</w:t>
      </w:r>
      <w:r>
        <w:rPr>
          <w:rFonts w:ascii="Arial Unicode MS" w:hAnsi="Helvetica"/>
          <w:sz w:val="24"/>
          <w:szCs w:val="24"/>
        </w:rPr>
        <w:t>’</w:t>
      </w:r>
      <w:r>
        <w:rPr>
          <w:sz w:val="24"/>
          <w:szCs w:val="24"/>
        </w:rPr>
        <w:t xml:space="preserve">, and that references to </w:t>
      </w:r>
      <w:r>
        <w:rPr>
          <w:rFonts w:ascii="Arial Unicode MS" w:hAnsi="Helvetica"/>
          <w:sz w:val="24"/>
          <w:szCs w:val="24"/>
        </w:rPr>
        <w:t>‘</w:t>
      </w:r>
      <w:r>
        <w:rPr>
          <w:sz w:val="24"/>
          <w:szCs w:val="24"/>
        </w:rPr>
        <w:t>the Core group</w:t>
      </w:r>
      <w:r>
        <w:rPr>
          <w:rFonts w:ascii="Arial Unicode MS" w:hAnsi="Helvetica"/>
          <w:sz w:val="24"/>
          <w:szCs w:val="24"/>
        </w:rPr>
        <w:t>’</w:t>
      </w:r>
      <w:r>
        <w:rPr>
          <w:rFonts w:ascii="Arial Unicode MS" w:hAnsi="Helvetica"/>
          <w:sz w:val="24"/>
          <w:szCs w:val="24"/>
        </w:rPr>
        <w:t xml:space="preserve"> </w:t>
      </w:r>
      <w:r>
        <w:rPr>
          <w:sz w:val="24"/>
          <w:szCs w:val="24"/>
        </w:rPr>
        <w:t xml:space="preserve">be replaced by </w:t>
      </w:r>
      <w:r>
        <w:rPr>
          <w:rFonts w:ascii="Arial Unicode MS" w:hAnsi="Helvetica"/>
          <w:sz w:val="24"/>
          <w:szCs w:val="24"/>
        </w:rPr>
        <w:t>‘</w:t>
      </w:r>
      <w:r>
        <w:rPr>
          <w:sz w:val="24"/>
          <w:szCs w:val="24"/>
        </w:rPr>
        <w:t>the Committee</w:t>
      </w:r>
      <w:r>
        <w:rPr>
          <w:rFonts w:ascii="Arial Unicode MS" w:hAnsi="Helvetica"/>
          <w:sz w:val="24"/>
          <w:szCs w:val="24"/>
        </w:rPr>
        <w:t>’</w:t>
      </w:r>
      <w:r>
        <w:rPr>
          <w:sz w:val="24"/>
          <w:szCs w:val="24"/>
        </w:rPr>
        <w:t>.   This was agreed.</w:t>
      </w:r>
    </w:p>
    <w:p w:rsidR="00415080" w:rsidRDefault="00415080">
      <w:pPr>
        <w:pStyle w:val="BodyA"/>
        <w:rPr>
          <w:sz w:val="24"/>
          <w:szCs w:val="24"/>
        </w:rPr>
      </w:pPr>
    </w:p>
    <w:p w:rsidR="00415080" w:rsidRDefault="00AB2979">
      <w:pPr>
        <w:pStyle w:val="BodyA"/>
        <w:numPr>
          <w:ilvl w:val="0"/>
          <w:numId w:val="3"/>
        </w:numPr>
        <w:tabs>
          <w:tab w:val="num" w:pos="360"/>
          <w:tab w:val="left" w:pos="393"/>
        </w:tabs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 of AGM 2014</w:t>
      </w:r>
      <w:r>
        <w:rPr>
          <w:sz w:val="24"/>
          <w:szCs w:val="24"/>
        </w:rPr>
        <w:t>:  these had been circulated previously, and were agreed.</w:t>
      </w:r>
    </w:p>
    <w:p w:rsidR="00415080" w:rsidRDefault="00415080">
      <w:pPr>
        <w:pStyle w:val="BodyA"/>
        <w:rPr>
          <w:sz w:val="24"/>
          <w:szCs w:val="24"/>
        </w:rPr>
      </w:pPr>
    </w:p>
    <w:p w:rsidR="00415080" w:rsidRDefault="00AB2979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b/>
          <w:bCs/>
          <w:sz w:val="24"/>
          <w:szCs w:val="24"/>
        </w:rPr>
        <w:t xml:space="preserve">Election of Committee </w:t>
      </w:r>
      <w:proofErr w:type="gramStart"/>
      <w:r>
        <w:rPr>
          <w:b/>
          <w:bCs/>
          <w:sz w:val="24"/>
          <w:szCs w:val="24"/>
        </w:rPr>
        <w:t>members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in the absence of further nominations, the ou</w:t>
      </w:r>
      <w:r>
        <w:rPr>
          <w:sz w:val="24"/>
          <w:szCs w:val="24"/>
        </w:rPr>
        <w:t>t</w:t>
      </w:r>
      <w:r>
        <w:rPr>
          <w:sz w:val="24"/>
          <w:szCs w:val="24"/>
        </w:rPr>
        <w:t>going team were re-elected:</w:t>
      </w:r>
    </w:p>
    <w:p w:rsidR="00415080" w:rsidRDefault="00415080">
      <w:pPr>
        <w:pStyle w:val="BodyA"/>
        <w:rPr>
          <w:sz w:val="24"/>
          <w:szCs w:val="24"/>
        </w:rPr>
      </w:pPr>
    </w:p>
    <w:p w:rsidR="00415080" w:rsidRDefault="00AB2979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>Vanessa Connolly (co-opted)</w:t>
      </w:r>
    </w:p>
    <w:p w:rsidR="00415080" w:rsidRDefault="00AB2979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>David Faulkner (chair)</w:t>
      </w:r>
    </w:p>
    <w:p w:rsidR="00415080" w:rsidRDefault="00AB2979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 xml:space="preserve">Jackie </w:t>
      </w:r>
      <w:proofErr w:type="spellStart"/>
      <w:r>
        <w:rPr>
          <w:sz w:val="24"/>
          <w:szCs w:val="24"/>
        </w:rPr>
        <w:t>Grimshaw</w:t>
      </w:r>
      <w:proofErr w:type="spellEnd"/>
      <w:r>
        <w:rPr>
          <w:sz w:val="24"/>
          <w:szCs w:val="24"/>
        </w:rPr>
        <w:t xml:space="preserve"> (secretary)</w:t>
      </w:r>
    </w:p>
    <w:p w:rsidR="00415080" w:rsidRDefault="00AB2979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 xml:space="preserve">Yvonne </w:t>
      </w:r>
      <w:proofErr w:type="spellStart"/>
      <w:r>
        <w:rPr>
          <w:sz w:val="24"/>
          <w:szCs w:val="24"/>
        </w:rPr>
        <w:t>Higgons</w:t>
      </w:r>
      <w:proofErr w:type="spellEnd"/>
      <w:r>
        <w:rPr>
          <w:sz w:val="24"/>
          <w:szCs w:val="24"/>
        </w:rPr>
        <w:t xml:space="preserve"> (editor, publicity)</w:t>
      </w:r>
    </w:p>
    <w:p w:rsidR="00415080" w:rsidRDefault="00AB2979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>Robert Sanders (Vice-chair)</w:t>
      </w:r>
    </w:p>
    <w:p w:rsidR="00415080" w:rsidRDefault="00AB2979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 Peter </w:t>
      </w:r>
      <w:proofErr w:type="spellStart"/>
      <w:r>
        <w:rPr>
          <w:sz w:val="24"/>
          <w:szCs w:val="24"/>
        </w:rPr>
        <w:t>Connan</w:t>
      </w:r>
      <w:proofErr w:type="spellEnd"/>
      <w:r>
        <w:rPr>
          <w:sz w:val="24"/>
          <w:szCs w:val="24"/>
        </w:rPr>
        <w:t xml:space="preserve"> (ex-officio)</w:t>
      </w:r>
    </w:p>
    <w:p w:rsidR="00415080" w:rsidRDefault="00415080">
      <w:pPr>
        <w:pStyle w:val="BodyA"/>
        <w:rPr>
          <w:sz w:val="24"/>
          <w:szCs w:val="24"/>
        </w:rPr>
      </w:pPr>
    </w:p>
    <w:p w:rsidR="00415080" w:rsidRDefault="00AB2979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3.    </w:t>
      </w:r>
      <w:proofErr w:type="spellStart"/>
      <w:r>
        <w:rPr>
          <w:b/>
          <w:bCs/>
          <w:sz w:val="24"/>
          <w:szCs w:val="24"/>
        </w:rPr>
        <w:t>Dr.Connan</w:t>
      </w:r>
      <w:r>
        <w:rPr>
          <w:rFonts w:ascii="Arial Unicode MS" w:hAnsi="Helvetica"/>
          <w:b/>
          <w:bCs/>
          <w:sz w:val="24"/>
          <w:szCs w:val="24"/>
        </w:rPr>
        <w:t>’</w:t>
      </w:r>
      <w:r>
        <w:rPr>
          <w:b/>
          <w:bCs/>
          <w:sz w:val="24"/>
          <w:szCs w:val="24"/>
        </w:rPr>
        <w:t>s</w:t>
      </w:r>
      <w:proofErr w:type="spellEnd"/>
      <w:r>
        <w:rPr>
          <w:b/>
          <w:bCs/>
          <w:sz w:val="24"/>
          <w:szCs w:val="24"/>
        </w:rPr>
        <w:t xml:space="preserve"> report</w:t>
      </w:r>
      <w:r>
        <w:rPr>
          <w:sz w:val="24"/>
          <w:szCs w:val="24"/>
        </w:rPr>
        <w:t xml:space="preserve"> was devoted principally to explaining the practice</w:t>
      </w:r>
      <w:r>
        <w:rPr>
          <w:rFonts w:ascii="Arial Unicode MS" w:hAnsi="Helvetica"/>
          <w:sz w:val="24"/>
          <w:szCs w:val="24"/>
        </w:rPr>
        <w:t>’</w:t>
      </w:r>
      <w:r>
        <w:rPr>
          <w:sz w:val="24"/>
          <w:szCs w:val="24"/>
        </w:rPr>
        <w:t xml:space="preserve">s decision to apply for assent to opening a full pharmacy in </w:t>
      </w:r>
      <w:proofErr w:type="spellStart"/>
      <w:r>
        <w:rPr>
          <w:sz w:val="24"/>
          <w:szCs w:val="24"/>
        </w:rPr>
        <w:t>Girton</w:t>
      </w:r>
      <w:proofErr w:type="spellEnd"/>
      <w:r>
        <w:rPr>
          <w:sz w:val="24"/>
          <w:szCs w:val="24"/>
        </w:rPr>
        <w:t xml:space="preserve"> (full details on the practice</w:t>
      </w:r>
      <w:r>
        <w:rPr>
          <w:rFonts w:ascii="Arial Unicode MS" w:hAnsi="Helvetica"/>
          <w:sz w:val="24"/>
          <w:szCs w:val="24"/>
        </w:rPr>
        <w:t>’</w:t>
      </w:r>
      <w:r>
        <w:rPr>
          <w:sz w:val="24"/>
          <w:szCs w:val="24"/>
        </w:rPr>
        <w:t>s website).   The meeting was enthusiastically in support of this initiative, and</w:t>
      </w:r>
      <w:r>
        <w:rPr>
          <w:sz w:val="24"/>
          <w:szCs w:val="24"/>
        </w:rPr>
        <w:t xml:space="preserve"> a vote in </w:t>
      </w:r>
      <w:proofErr w:type="spellStart"/>
      <w:r>
        <w:rPr>
          <w:sz w:val="24"/>
          <w:szCs w:val="24"/>
        </w:rPr>
        <w:t>favour</w:t>
      </w:r>
      <w:proofErr w:type="spellEnd"/>
      <w:r>
        <w:rPr>
          <w:sz w:val="24"/>
          <w:szCs w:val="24"/>
        </w:rPr>
        <w:t xml:space="preserve"> was passed unanimously.   (The Chair subsequently conveyed this message in a letter to the relevant authority).</w:t>
      </w:r>
    </w:p>
    <w:p w:rsidR="00415080" w:rsidRDefault="00415080">
      <w:pPr>
        <w:pStyle w:val="BodyA"/>
        <w:rPr>
          <w:sz w:val="24"/>
          <w:szCs w:val="24"/>
        </w:rPr>
      </w:pPr>
    </w:p>
    <w:p w:rsidR="00415080" w:rsidRDefault="00AB2979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>
        <w:rPr>
          <w:b/>
          <w:bCs/>
          <w:sz w:val="24"/>
          <w:szCs w:val="24"/>
        </w:rPr>
        <w:t xml:space="preserve"> The Chair</w:t>
      </w:r>
      <w:r>
        <w:rPr>
          <w:rFonts w:ascii="Arial Unicode MS" w:hAnsi="Helvetica"/>
          <w:b/>
          <w:bCs/>
          <w:sz w:val="24"/>
          <w:szCs w:val="24"/>
        </w:rPr>
        <w:t>’</w:t>
      </w:r>
      <w:r>
        <w:rPr>
          <w:b/>
          <w:bCs/>
          <w:sz w:val="24"/>
          <w:szCs w:val="24"/>
        </w:rPr>
        <w:t>s Annual Report</w:t>
      </w:r>
      <w:r>
        <w:rPr>
          <w:sz w:val="24"/>
          <w:szCs w:val="24"/>
        </w:rPr>
        <w:t xml:space="preserve"> (this is appended as a separate document).</w:t>
      </w:r>
    </w:p>
    <w:p w:rsidR="00415080" w:rsidRDefault="00415080">
      <w:pPr>
        <w:pStyle w:val="BodyA"/>
        <w:rPr>
          <w:sz w:val="24"/>
          <w:szCs w:val="24"/>
        </w:rPr>
      </w:pPr>
    </w:p>
    <w:p w:rsidR="00415080" w:rsidRDefault="00AB2979">
      <w:pPr>
        <w:pStyle w:val="BodyA"/>
        <w:rPr>
          <w:color w:val="357CA2"/>
          <w:sz w:val="24"/>
          <w:szCs w:val="24"/>
          <w:u w:color="357CA2"/>
        </w:rPr>
      </w:pPr>
      <w:r>
        <w:rPr>
          <w:sz w:val="24"/>
          <w:szCs w:val="24"/>
        </w:rPr>
        <w:t xml:space="preserve">5.   </w:t>
      </w:r>
      <w:r>
        <w:rPr>
          <w:b/>
          <w:bCs/>
          <w:sz w:val="24"/>
          <w:szCs w:val="24"/>
        </w:rPr>
        <w:t xml:space="preserve">Guest speaker:   Andrea </w:t>
      </w:r>
      <w:proofErr w:type="spellStart"/>
      <w:r>
        <w:rPr>
          <w:b/>
          <w:bCs/>
          <w:sz w:val="24"/>
          <w:szCs w:val="24"/>
        </w:rPr>
        <w:t>Grosbois</w:t>
      </w:r>
      <w:proofErr w:type="spellEnd"/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Head of Com</w:t>
      </w:r>
      <w:r>
        <w:rPr>
          <w:sz w:val="24"/>
          <w:szCs w:val="24"/>
        </w:rPr>
        <w:t xml:space="preserve">munications at </w:t>
      </w:r>
      <w:proofErr w:type="spellStart"/>
      <w:r>
        <w:rPr>
          <w:sz w:val="24"/>
          <w:szCs w:val="24"/>
        </w:rPr>
        <w:t>UnitingCare</w:t>
      </w:r>
      <w:proofErr w:type="spellEnd"/>
      <w:r>
        <w:rPr>
          <w:sz w:val="24"/>
          <w:szCs w:val="24"/>
        </w:rPr>
        <w:t xml:space="preserve">, gave a stimulating half-hour presentation on </w:t>
      </w:r>
      <w:r>
        <w:rPr>
          <w:rFonts w:ascii="Arial Unicode MS" w:hAnsi="Helvetica"/>
          <w:sz w:val="24"/>
          <w:szCs w:val="24"/>
        </w:rPr>
        <w:t>‘</w:t>
      </w:r>
      <w:r>
        <w:rPr>
          <w:sz w:val="24"/>
          <w:szCs w:val="24"/>
        </w:rPr>
        <w:t>The Future of Local NHS services</w:t>
      </w:r>
      <w:r>
        <w:rPr>
          <w:rFonts w:ascii="Arial Unicode MS" w:hAnsi="Helvetica"/>
          <w:sz w:val="24"/>
          <w:szCs w:val="24"/>
        </w:rPr>
        <w:t>’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emphasising</w:t>
      </w:r>
      <w:proofErr w:type="spellEnd"/>
      <w:r>
        <w:rPr>
          <w:sz w:val="24"/>
          <w:szCs w:val="24"/>
        </w:rPr>
        <w:t xml:space="preserve"> the need to keep people away from hospital if they don</w:t>
      </w:r>
      <w:r>
        <w:rPr>
          <w:rFonts w:ascii="Arial Unicode MS" w:hAnsi="Helvetica"/>
          <w:sz w:val="24"/>
          <w:szCs w:val="24"/>
        </w:rPr>
        <w:t>’</w:t>
      </w:r>
      <w:r>
        <w:rPr>
          <w:sz w:val="24"/>
          <w:szCs w:val="24"/>
        </w:rPr>
        <w:t>t need to be there, the importance of providing services to keep people independ</w:t>
      </w:r>
      <w:r>
        <w:rPr>
          <w:sz w:val="24"/>
          <w:szCs w:val="24"/>
        </w:rPr>
        <w:t xml:space="preserve">ent, and when people are admitted to hospital </w:t>
      </w:r>
      <w:proofErr w:type="gramStart"/>
      <w:r>
        <w:rPr>
          <w:sz w:val="24"/>
          <w:szCs w:val="24"/>
        </w:rPr>
        <w:t>ensuring</w:t>
      </w:r>
      <w:proofErr w:type="gramEnd"/>
      <w:r>
        <w:rPr>
          <w:sz w:val="24"/>
          <w:szCs w:val="24"/>
        </w:rPr>
        <w:t xml:space="preserve"> that they return home quickly and safely.   Changes so far include the creation of 17 </w:t>
      </w:r>
      <w:proofErr w:type="spellStart"/>
      <w:r>
        <w:rPr>
          <w:sz w:val="24"/>
          <w:szCs w:val="24"/>
        </w:rPr>
        <w:t>neighbourhood</w:t>
      </w:r>
      <w:proofErr w:type="spellEnd"/>
      <w:r>
        <w:rPr>
          <w:sz w:val="24"/>
          <w:szCs w:val="24"/>
        </w:rPr>
        <w:t xml:space="preserve"> teams integrating community, mental health and social care (further d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tail on </w:t>
      </w:r>
      <w:hyperlink r:id="rId8" w:history="1">
        <w:r>
          <w:rPr>
            <w:rStyle w:val="Hyperlink0"/>
            <w:rFonts w:eastAsia="Arial Unicode MS" w:hAnsi="Arial Unicode MS" w:cs="Arial Unicode MS"/>
          </w:rPr>
          <w:t>unitingcare.co.uk</w:t>
        </w:r>
      </w:hyperlink>
      <w:r>
        <w:rPr>
          <w:color w:val="357CA2"/>
          <w:sz w:val="24"/>
          <w:szCs w:val="24"/>
          <w:u w:color="357CA2"/>
        </w:rPr>
        <w:t>).</w:t>
      </w:r>
    </w:p>
    <w:p w:rsidR="00415080" w:rsidRDefault="00415080">
      <w:pPr>
        <w:pStyle w:val="BodyA"/>
        <w:rPr>
          <w:color w:val="357CA2"/>
          <w:sz w:val="24"/>
          <w:szCs w:val="24"/>
          <w:u w:color="357CA2"/>
        </w:rPr>
      </w:pPr>
    </w:p>
    <w:p w:rsidR="00415080" w:rsidRDefault="00AB2979">
      <w:pPr>
        <w:pStyle w:val="BodyA"/>
        <w:rPr>
          <w:color w:val="120D06"/>
          <w:sz w:val="24"/>
          <w:szCs w:val="24"/>
          <w:u w:color="120D06"/>
        </w:rPr>
      </w:pPr>
      <w:r>
        <w:rPr>
          <w:color w:val="120D06"/>
          <w:sz w:val="24"/>
          <w:szCs w:val="24"/>
          <w:u w:color="120D06"/>
        </w:rPr>
        <w:t xml:space="preserve">6. The meeting concluded with the showing of a short film (13 minutes) produced by </w:t>
      </w:r>
      <w:proofErr w:type="spellStart"/>
      <w:r>
        <w:rPr>
          <w:color w:val="120D06"/>
          <w:sz w:val="24"/>
          <w:szCs w:val="24"/>
          <w:u w:color="120D06"/>
        </w:rPr>
        <w:t>Ca</w:t>
      </w:r>
      <w:r>
        <w:rPr>
          <w:color w:val="120D06"/>
          <w:sz w:val="24"/>
          <w:szCs w:val="24"/>
          <w:u w:color="120D06"/>
        </w:rPr>
        <w:t>m</w:t>
      </w:r>
      <w:r>
        <w:rPr>
          <w:color w:val="120D06"/>
          <w:sz w:val="24"/>
          <w:szCs w:val="24"/>
          <w:u w:color="120D06"/>
        </w:rPr>
        <w:t>bridgeshire</w:t>
      </w:r>
      <w:proofErr w:type="spellEnd"/>
      <w:r>
        <w:rPr>
          <w:color w:val="120D06"/>
          <w:sz w:val="24"/>
          <w:szCs w:val="24"/>
          <w:u w:color="120D06"/>
        </w:rPr>
        <w:t xml:space="preserve"> Hearing Help and filmed in Cambridge (also available to watch on their we</w:t>
      </w:r>
      <w:r>
        <w:rPr>
          <w:color w:val="120D06"/>
          <w:sz w:val="24"/>
          <w:szCs w:val="24"/>
          <w:u w:color="120D06"/>
        </w:rPr>
        <w:t>b</w:t>
      </w:r>
      <w:r>
        <w:rPr>
          <w:color w:val="120D06"/>
          <w:sz w:val="24"/>
          <w:szCs w:val="24"/>
          <w:u w:color="120D06"/>
        </w:rPr>
        <w:t xml:space="preserve">site) raising awareness </w:t>
      </w:r>
      <w:r>
        <w:rPr>
          <w:color w:val="120D06"/>
          <w:sz w:val="24"/>
          <w:szCs w:val="24"/>
          <w:u w:color="120D06"/>
        </w:rPr>
        <w:t>of how to communicate with people suffering from hearing loss.</w:t>
      </w:r>
    </w:p>
    <w:p w:rsidR="00415080" w:rsidRDefault="00415080">
      <w:pPr>
        <w:pStyle w:val="BodyA"/>
        <w:rPr>
          <w:color w:val="120D06"/>
          <w:sz w:val="24"/>
          <w:szCs w:val="24"/>
          <w:u w:color="120D06"/>
        </w:rPr>
      </w:pPr>
    </w:p>
    <w:p w:rsidR="00415080" w:rsidRDefault="00AB2979">
      <w:pPr>
        <w:pStyle w:val="BodyA"/>
        <w:rPr>
          <w:color w:val="120D06"/>
          <w:sz w:val="24"/>
          <w:szCs w:val="24"/>
          <w:u w:color="120D06"/>
        </w:rPr>
      </w:pPr>
      <w:r>
        <w:rPr>
          <w:color w:val="120D06"/>
          <w:sz w:val="24"/>
          <w:szCs w:val="24"/>
          <w:u w:color="120D06"/>
        </w:rPr>
        <w:t xml:space="preserve">7. </w:t>
      </w:r>
      <w:r>
        <w:rPr>
          <w:b/>
          <w:bCs/>
          <w:color w:val="120D06"/>
          <w:sz w:val="24"/>
          <w:szCs w:val="24"/>
          <w:u w:color="120D06"/>
        </w:rPr>
        <w:t xml:space="preserve">Future meetings: </w:t>
      </w:r>
      <w:r>
        <w:rPr>
          <w:color w:val="120D06"/>
          <w:sz w:val="24"/>
          <w:szCs w:val="24"/>
          <w:u w:color="120D06"/>
        </w:rPr>
        <w:t>Committee:  30 Sep practice</w:t>
      </w:r>
      <w:r>
        <w:rPr>
          <w:rFonts w:ascii="Arial Unicode MS" w:hAnsi="Helvetica"/>
          <w:color w:val="120D06"/>
          <w:sz w:val="24"/>
          <w:szCs w:val="24"/>
          <w:u w:color="120D06"/>
        </w:rPr>
        <w:t>’</w:t>
      </w:r>
      <w:r>
        <w:rPr>
          <w:color w:val="120D06"/>
          <w:sz w:val="24"/>
          <w:szCs w:val="24"/>
          <w:u w:color="120D06"/>
        </w:rPr>
        <w:t xml:space="preserve">s website, 14 Oct to plan future </w:t>
      </w:r>
      <w:proofErr w:type="spellStart"/>
      <w:r>
        <w:rPr>
          <w:color w:val="120D06"/>
          <w:sz w:val="24"/>
          <w:szCs w:val="24"/>
          <w:u w:color="120D06"/>
        </w:rPr>
        <w:t>pr</w:t>
      </w:r>
      <w:r>
        <w:rPr>
          <w:color w:val="120D06"/>
          <w:sz w:val="24"/>
          <w:szCs w:val="24"/>
          <w:u w:color="120D06"/>
        </w:rPr>
        <w:t>o</w:t>
      </w:r>
      <w:r>
        <w:rPr>
          <w:color w:val="120D06"/>
          <w:sz w:val="24"/>
          <w:szCs w:val="24"/>
          <w:u w:color="120D06"/>
        </w:rPr>
        <w:t>gramme</w:t>
      </w:r>
      <w:proofErr w:type="spellEnd"/>
      <w:r>
        <w:rPr>
          <w:color w:val="120D06"/>
          <w:sz w:val="24"/>
          <w:szCs w:val="24"/>
          <w:u w:color="120D06"/>
        </w:rPr>
        <w:t>, Patient Group 18 or 25 Nov, subsequently agreed Wed 25 Nov.</w:t>
      </w:r>
    </w:p>
    <w:p w:rsidR="00415080" w:rsidRDefault="00415080">
      <w:pPr>
        <w:pStyle w:val="BodyA"/>
        <w:rPr>
          <w:color w:val="120D06"/>
          <w:sz w:val="24"/>
          <w:szCs w:val="24"/>
          <w:u w:color="120D06"/>
        </w:rPr>
      </w:pPr>
    </w:p>
    <w:p w:rsidR="00415080" w:rsidRDefault="00AB2979">
      <w:pPr>
        <w:pStyle w:val="BodyA"/>
        <w:rPr>
          <w:color w:val="120D06"/>
          <w:sz w:val="24"/>
          <w:szCs w:val="24"/>
          <w:u w:color="120D06"/>
        </w:rPr>
      </w:pPr>
      <w:r>
        <w:rPr>
          <w:color w:val="120D06"/>
          <w:sz w:val="24"/>
          <w:szCs w:val="24"/>
          <w:u w:color="120D06"/>
        </w:rPr>
        <w:tab/>
      </w:r>
    </w:p>
    <w:p w:rsidR="00415080" w:rsidRDefault="00AB2979">
      <w:pPr>
        <w:pStyle w:val="BodyA"/>
      </w:pPr>
      <w:r>
        <w:rPr>
          <w:color w:val="120D06"/>
          <w:sz w:val="24"/>
          <w:szCs w:val="24"/>
          <w:u w:color="120D06"/>
        </w:rPr>
        <w:lastRenderedPageBreak/>
        <w:t xml:space="preserve"> </w:t>
      </w:r>
    </w:p>
    <w:sectPr w:rsidR="00415080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979" w:rsidRDefault="00AB2979">
      <w:r>
        <w:separator/>
      </w:r>
    </w:p>
  </w:endnote>
  <w:endnote w:type="continuationSeparator" w:id="0">
    <w:p w:rsidR="00AB2979" w:rsidRDefault="00AB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80" w:rsidRDefault="0041508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979" w:rsidRDefault="00AB2979">
      <w:r>
        <w:separator/>
      </w:r>
    </w:p>
  </w:footnote>
  <w:footnote w:type="continuationSeparator" w:id="0">
    <w:p w:rsidR="00AB2979" w:rsidRDefault="00AB2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80" w:rsidRDefault="00415080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043B"/>
    <w:multiLevelType w:val="multilevel"/>
    <w:tmpl w:val="12B6372E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lang w:val="en-US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lang w:val="en-US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lang w:val="en-US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lang w:val="en-US"/>
      </w:rPr>
    </w:lvl>
  </w:abstractNum>
  <w:abstractNum w:abstractNumId="1">
    <w:nsid w:val="56AF3B07"/>
    <w:multiLevelType w:val="multilevel"/>
    <w:tmpl w:val="67D26BC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2">
    <w:nsid w:val="680E20FE"/>
    <w:multiLevelType w:val="multilevel"/>
    <w:tmpl w:val="CC30C80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lang w:val="en-US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lang w:val="en-US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lang w:val="en-US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lang w:val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5080"/>
    <w:rsid w:val="002E159C"/>
    <w:rsid w:val="00415080"/>
    <w:rsid w:val="00AB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" w:eastAsia="Helvetica" w:hAnsi="Helvetica" w:cs="Helvetica"/>
      <w:b/>
      <w:bCs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59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" w:eastAsia="Helvetica" w:hAnsi="Helvetica" w:cs="Helvetica"/>
      <w:b/>
      <w:bCs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59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tingcare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Connan</dc:creator>
  <cp:lastModifiedBy>PrimaryCare</cp:lastModifiedBy>
  <cp:revision>2</cp:revision>
  <cp:lastPrinted>2015-11-09T19:22:00Z</cp:lastPrinted>
  <dcterms:created xsi:type="dcterms:W3CDTF">2015-11-09T19:22:00Z</dcterms:created>
  <dcterms:modified xsi:type="dcterms:W3CDTF">2015-11-09T19:22:00Z</dcterms:modified>
</cp:coreProperties>
</file>